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798" w:rsidRPr="00711AE5" w:rsidRDefault="00711AE5" w:rsidP="00711AE5">
      <w:pPr>
        <w:pStyle w:val="Heading1"/>
        <w:rPr>
          <w:rFonts w:ascii="Times New Roman" w:hAnsi="Times New Roman" w:cs="Times New Roman"/>
          <w:b/>
        </w:rPr>
      </w:pPr>
      <w:r w:rsidRPr="00711AE5">
        <w:rPr>
          <w:rFonts w:ascii="Times New Roman" w:hAnsi="Times New Roman" w:cs="Times New Roman"/>
          <w:b/>
        </w:rPr>
        <w:t>Equipment:</w:t>
      </w:r>
    </w:p>
    <w:p w:rsidR="00711AE5" w:rsidRDefault="00711AE5" w:rsidP="000A0E9B">
      <w:pPr>
        <w:pStyle w:val="ListParagraph"/>
        <w:numPr>
          <w:ilvl w:val="0"/>
          <w:numId w:val="2"/>
        </w:numPr>
      </w:pPr>
      <w:proofErr w:type="spellStart"/>
      <w:r>
        <w:t>dSpace</w:t>
      </w:r>
      <w:proofErr w:type="spellEnd"/>
      <w:r>
        <w:t>:</w:t>
      </w:r>
    </w:p>
    <w:p w:rsidR="00711AE5" w:rsidRDefault="00711AE5">
      <w:proofErr w:type="spellStart"/>
      <w:r w:rsidRPr="00711AE5">
        <w:t>Dspace</w:t>
      </w:r>
      <w:proofErr w:type="spellEnd"/>
      <w:r w:rsidRPr="00711AE5">
        <w:t xml:space="preserve"> DS1104 controller boar</w:t>
      </w:r>
      <w:r>
        <w:t xml:space="preserve">d with CP 1104 connector panel </w:t>
      </w:r>
    </w:p>
    <w:p w:rsidR="00711AE5" w:rsidRPr="00711AE5" w:rsidRDefault="004418F1" w:rsidP="00711AE5">
      <w:pPr>
        <w:spacing w:line="270" w:lineRule="atLeast"/>
        <w:rPr>
          <w:rFonts w:ascii="Arial" w:eastAsia="Times New Roman" w:hAnsi="Arial" w:cs="Arial"/>
          <w:b/>
          <w:bCs/>
          <w:color w:val="000000"/>
          <w:sz w:val="18"/>
          <w:szCs w:val="18"/>
        </w:rPr>
      </w:pPr>
      <w:hyperlink r:id="rId5" w:history="1">
        <w:r w:rsidR="00711AE5" w:rsidRPr="00711AE5">
          <w:rPr>
            <w:rFonts w:ascii="Arial" w:eastAsia="Times New Roman" w:hAnsi="Arial" w:cs="Arial"/>
            <w:b/>
            <w:bCs/>
            <w:color w:val="000000"/>
            <w:sz w:val="17"/>
            <w:szCs w:val="17"/>
          </w:rPr>
          <w:t>DS110</w:t>
        </w:r>
        <w:r w:rsidR="00711AE5">
          <w:rPr>
            <w:rFonts w:ascii="Arial" w:eastAsia="Times New Roman" w:hAnsi="Arial" w:cs="Arial"/>
            <w:b/>
            <w:bCs/>
            <w:color w:val="000000"/>
            <w:sz w:val="17"/>
            <w:szCs w:val="17"/>
          </w:rPr>
          <w:t>4</w:t>
        </w:r>
        <w:r w:rsidR="00711AE5" w:rsidRPr="00711AE5">
          <w:rPr>
            <w:rFonts w:ascii="Arial" w:eastAsia="Times New Roman" w:hAnsi="Arial" w:cs="Arial"/>
            <w:b/>
            <w:bCs/>
            <w:color w:val="000000"/>
            <w:sz w:val="17"/>
            <w:szCs w:val="17"/>
          </w:rPr>
          <w:t xml:space="preserve"> PPC Controller Board</w:t>
        </w:r>
      </w:hyperlink>
      <w:r w:rsidR="00711AE5" w:rsidRPr="00711AE5">
        <w:rPr>
          <w:rFonts w:ascii="Arial" w:eastAsia="Times New Roman" w:hAnsi="Arial" w:cs="Arial"/>
          <w:b/>
          <w:bCs/>
          <w:color w:val="000000"/>
          <w:sz w:val="18"/>
          <w:szCs w:val="18"/>
        </w:rPr>
        <w:t xml:space="preserve"> </w:t>
      </w:r>
    </w:p>
    <w:p w:rsidR="00711AE5" w:rsidRPr="00711AE5" w:rsidRDefault="00711AE5" w:rsidP="00711AE5">
      <w:pPr>
        <w:spacing w:after="0" w:line="270" w:lineRule="atLeast"/>
        <w:rPr>
          <w:rFonts w:ascii="Arial" w:eastAsia="Times New Roman" w:hAnsi="Arial" w:cs="Arial"/>
          <w:color w:val="000000"/>
          <w:sz w:val="18"/>
          <w:szCs w:val="18"/>
        </w:rPr>
      </w:pPr>
      <w:bookmarkStart w:id="0" w:name="i1045"/>
      <w:bookmarkEnd w:id="0"/>
      <w:r w:rsidRPr="00711AE5">
        <w:rPr>
          <w:rFonts w:ascii="Arial" w:eastAsia="Times New Roman" w:hAnsi="Arial" w:cs="Arial"/>
          <w:b/>
          <w:bCs/>
          <w:noProof/>
          <w:color w:val="000000"/>
          <w:sz w:val="18"/>
          <w:szCs w:val="18"/>
        </w:rPr>
        <w:drawing>
          <wp:anchor distT="47625" distB="47625" distL="47625" distR="47625" simplePos="0" relativeHeight="251658240" behindDoc="0" locked="0" layoutInCell="1" allowOverlap="0">
            <wp:simplePos x="0" y="0"/>
            <wp:positionH relativeFrom="column">
              <wp:align>right</wp:align>
            </wp:positionH>
            <wp:positionV relativeFrom="line">
              <wp:posOffset>0</wp:posOffset>
            </wp:positionV>
            <wp:extent cx="2381250" cy="1704975"/>
            <wp:effectExtent l="0" t="0" r="0" b="9525"/>
            <wp:wrapSquare wrapText="bothSides"/>
            <wp:docPr id="3" name="Picture 3" descr="http://www.dspace.com/files/jpg4/DS1104E_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space.com/files/jpg4/DS1104E_25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1AE5">
        <w:rPr>
          <w:rFonts w:ascii="Arial" w:eastAsia="Times New Roman" w:hAnsi="Arial" w:cs="Arial"/>
          <w:b/>
          <w:bCs/>
          <w:color w:val="000000"/>
          <w:sz w:val="18"/>
          <w:szCs w:val="18"/>
        </w:rPr>
        <w:t>Cost-effective system for controller development</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Single-board system with real-time hardware and comprehensive I/O</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Cost-effective</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PCI hardware for use in PCs</w:t>
      </w:r>
    </w:p>
    <w:p w:rsidR="00711AE5" w:rsidRPr="00711AE5" w:rsidRDefault="00711AE5" w:rsidP="00711AE5">
      <w:pPr>
        <w:numPr>
          <w:ilvl w:val="0"/>
          <w:numId w:val="1"/>
        </w:numPr>
        <w:spacing w:after="0" w:line="240" w:lineRule="auto"/>
        <w:ind w:left="600"/>
        <w:rPr>
          <w:rFonts w:ascii="Arial" w:eastAsia="Times New Roman" w:hAnsi="Arial" w:cs="Arial"/>
          <w:color w:val="000000"/>
          <w:sz w:val="18"/>
          <w:szCs w:val="18"/>
        </w:rPr>
      </w:pPr>
      <w:r w:rsidRPr="00711AE5">
        <w:rPr>
          <w:rFonts w:ascii="Arial" w:eastAsia="Times New Roman" w:hAnsi="Arial" w:cs="Arial"/>
          <w:color w:val="000000"/>
          <w:sz w:val="18"/>
          <w:szCs w:val="18"/>
        </w:rPr>
        <w:t xml:space="preserve">Variant with </w:t>
      </w:r>
      <w:proofErr w:type="spellStart"/>
      <w:r w:rsidRPr="00711AE5">
        <w:rPr>
          <w:rFonts w:ascii="Arial" w:eastAsia="Times New Roman" w:hAnsi="Arial" w:cs="Arial"/>
          <w:color w:val="000000"/>
          <w:sz w:val="18"/>
          <w:szCs w:val="18"/>
        </w:rPr>
        <w:t>PCIe</w:t>
      </w:r>
      <w:proofErr w:type="spellEnd"/>
      <w:r w:rsidRPr="00711AE5">
        <w:rPr>
          <w:rFonts w:ascii="Arial" w:eastAsia="Times New Roman" w:hAnsi="Arial" w:cs="Arial"/>
          <w:color w:val="000000"/>
          <w:sz w:val="18"/>
          <w:szCs w:val="18"/>
        </w:rPr>
        <w:t xml:space="preserve"> (PCI Express) host interface</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Application Areas</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The real-time hardware based on PowerPC technology and its set of I/O interfaces make the controller board an ideal solution for developing controllers in various fields, such as drives, robotics, and aerospace. The board is used in many university laboratories.</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 xml:space="preserve">Key </w:t>
      </w:r>
      <w:proofErr w:type="spellStart"/>
      <w:r w:rsidRPr="00711AE5">
        <w:rPr>
          <w:rFonts w:ascii="Arial" w:eastAsia="Times New Roman" w:hAnsi="Arial" w:cs="Arial"/>
          <w:b/>
          <w:bCs/>
          <w:color w:val="000000"/>
          <w:sz w:val="18"/>
          <w:szCs w:val="18"/>
        </w:rPr>
        <w:t>Benefi</w:t>
      </w:r>
      <w:proofErr w:type="spellEnd"/>
      <w:r w:rsidRPr="00711AE5">
        <w:rPr>
          <w:rFonts w:ascii="Arial" w:eastAsia="Times New Roman" w:hAnsi="Arial" w:cs="Arial"/>
          <w:b/>
          <w:bCs/>
          <w:color w:val="000000"/>
          <w:sz w:val="18"/>
          <w:szCs w:val="18"/>
        </w:rPr>
        <w:t xml:space="preserve"> </w:t>
      </w:r>
      <w:proofErr w:type="spellStart"/>
      <w:r w:rsidRPr="00711AE5">
        <w:rPr>
          <w:rFonts w:ascii="Arial" w:eastAsia="Times New Roman" w:hAnsi="Arial" w:cs="Arial"/>
          <w:b/>
          <w:bCs/>
          <w:color w:val="000000"/>
          <w:sz w:val="18"/>
          <w:szCs w:val="18"/>
        </w:rPr>
        <w:t>ts</w:t>
      </w:r>
      <w:proofErr w:type="spellEnd"/>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The DS1104 R&amp;D Controller Board upgrades your PC to a powerful development system for rapid control prototyping</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(“R&amp;D</w:t>
      </w:r>
      <w:proofErr w:type="gramStart"/>
      <w:r w:rsidRPr="00711AE5">
        <w:rPr>
          <w:rFonts w:ascii="Arial" w:eastAsia="Times New Roman" w:hAnsi="Arial" w:cs="Arial"/>
          <w:color w:val="000000"/>
          <w:sz w:val="18"/>
          <w:szCs w:val="18"/>
        </w:rPr>
        <w:t>“ stands</w:t>
      </w:r>
      <w:proofErr w:type="gramEnd"/>
      <w:r w:rsidRPr="00711AE5">
        <w:rPr>
          <w:rFonts w:ascii="Arial" w:eastAsia="Times New Roman" w:hAnsi="Arial" w:cs="Arial"/>
          <w:color w:val="000000"/>
          <w:sz w:val="18"/>
          <w:szCs w:val="18"/>
        </w:rPr>
        <w:t xml:space="preserve"> for research &amp; development). Real-Time Interface provides Simulink ® blocks for graphical</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xml:space="preserve">I/O configuration. The board can be installed in virtually any PC with a free PCI or </w:t>
      </w:r>
      <w:proofErr w:type="spellStart"/>
      <w:r w:rsidRPr="00711AE5">
        <w:rPr>
          <w:rFonts w:ascii="Arial" w:eastAsia="Times New Roman" w:hAnsi="Arial" w:cs="Arial"/>
          <w:color w:val="000000"/>
          <w:sz w:val="18"/>
          <w:szCs w:val="18"/>
        </w:rPr>
        <w:t>PCIe</w:t>
      </w:r>
      <w:proofErr w:type="spellEnd"/>
      <w:r w:rsidRPr="00711AE5">
        <w:rPr>
          <w:rFonts w:ascii="Arial" w:eastAsia="Times New Roman" w:hAnsi="Arial" w:cs="Arial"/>
          <w:color w:val="000000"/>
          <w:sz w:val="18"/>
          <w:szCs w:val="18"/>
        </w:rPr>
        <w:t xml:space="preserve"> slot.</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 </w:t>
      </w:r>
    </w:p>
    <w:p w:rsidR="00711AE5" w:rsidRPr="00711AE5" w:rsidRDefault="00711AE5" w:rsidP="00711AE5">
      <w:pPr>
        <w:spacing w:after="0" w:line="270" w:lineRule="atLeast"/>
        <w:rPr>
          <w:rFonts w:ascii="Arial" w:eastAsia="Times New Roman" w:hAnsi="Arial" w:cs="Arial"/>
          <w:color w:val="000000"/>
          <w:sz w:val="18"/>
          <w:szCs w:val="18"/>
        </w:rPr>
      </w:pPr>
      <w:r w:rsidRPr="00711AE5">
        <w:rPr>
          <w:rFonts w:ascii="Arial" w:eastAsia="Times New Roman" w:hAnsi="Arial" w:cs="Arial"/>
          <w:b/>
          <w:bCs/>
          <w:color w:val="000000"/>
          <w:sz w:val="18"/>
          <w:szCs w:val="18"/>
        </w:rPr>
        <w:t>Using Real-Time Interface</w:t>
      </w:r>
    </w:p>
    <w:p w:rsidR="00711AE5" w:rsidRDefault="00711AE5" w:rsidP="004418F1">
      <w:pPr>
        <w:spacing w:after="0" w:line="270" w:lineRule="atLeast"/>
        <w:rPr>
          <w:rFonts w:ascii="Arial" w:eastAsia="Times New Roman" w:hAnsi="Arial" w:cs="Arial"/>
          <w:color w:val="000000"/>
          <w:sz w:val="18"/>
          <w:szCs w:val="18"/>
        </w:rPr>
      </w:pPr>
      <w:r w:rsidRPr="00711AE5">
        <w:rPr>
          <w:rFonts w:ascii="Arial" w:eastAsia="Times New Roman" w:hAnsi="Arial" w:cs="Arial"/>
          <w:color w:val="000000"/>
          <w:sz w:val="18"/>
          <w:szCs w:val="18"/>
        </w:rPr>
        <w:t>With Real-Time Interface (RTI), you can easily run your function models on the DS1104 R&amp;D Controller Board. You can</w:t>
      </w:r>
      <w:r w:rsidR="004418F1">
        <w:rPr>
          <w:rFonts w:ascii="Arial" w:eastAsia="Times New Roman" w:hAnsi="Arial" w:cs="Arial"/>
          <w:color w:val="000000"/>
          <w:sz w:val="18"/>
          <w:szCs w:val="18"/>
        </w:rPr>
        <w:t xml:space="preserve"> </w:t>
      </w:r>
      <w:r w:rsidRPr="00711AE5">
        <w:rPr>
          <w:rFonts w:ascii="Arial" w:eastAsia="Times New Roman" w:hAnsi="Arial" w:cs="Arial"/>
          <w:color w:val="000000"/>
          <w:sz w:val="18"/>
          <w:szCs w:val="18"/>
        </w:rPr>
        <w:t>configure all I/O graphically, insert the bloc</w:t>
      </w:r>
      <w:bookmarkStart w:id="1" w:name="_GoBack"/>
      <w:bookmarkEnd w:id="1"/>
      <w:r w:rsidRPr="00711AE5">
        <w:rPr>
          <w:rFonts w:ascii="Arial" w:eastAsia="Times New Roman" w:hAnsi="Arial" w:cs="Arial"/>
          <w:color w:val="000000"/>
          <w:sz w:val="18"/>
          <w:szCs w:val="18"/>
        </w:rPr>
        <w:t xml:space="preserve">ks into a Simulink block diagram, and generate the model code </w:t>
      </w:r>
      <w:proofErr w:type="gramStart"/>
      <w:r w:rsidRPr="00711AE5">
        <w:rPr>
          <w:rFonts w:ascii="Arial" w:eastAsia="Times New Roman" w:hAnsi="Arial" w:cs="Arial"/>
          <w:color w:val="000000"/>
          <w:sz w:val="18"/>
          <w:szCs w:val="18"/>
        </w:rPr>
        <w:t>via  Simulink</w:t>
      </w:r>
      <w:proofErr w:type="gramEnd"/>
      <w:r w:rsidRPr="00711AE5">
        <w:rPr>
          <w:rFonts w:ascii="Arial" w:eastAsia="Times New Roman" w:hAnsi="Arial" w:cs="Arial"/>
          <w:color w:val="000000"/>
          <w:sz w:val="18"/>
          <w:szCs w:val="18"/>
        </w:rPr>
        <w:t>® Coder™ (formerly Real-Time Workshop®). The real-time model is compiled, downloaded, and started automatically. This reduces the implementation time to a minimum.</w:t>
      </w:r>
    </w:p>
    <w:p w:rsidR="004418F1" w:rsidRDefault="004418F1" w:rsidP="00711AE5">
      <w:pPr>
        <w:spacing w:line="270" w:lineRule="atLeast"/>
        <w:rPr>
          <w:rFonts w:ascii="Arial" w:eastAsia="Times New Roman" w:hAnsi="Arial" w:cs="Arial"/>
          <w:color w:val="000000"/>
          <w:sz w:val="18"/>
          <w:szCs w:val="18"/>
        </w:rPr>
      </w:pPr>
    </w:p>
    <w:p w:rsidR="004418F1" w:rsidRPr="00711AE5" w:rsidRDefault="004418F1" w:rsidP="00711AE5">
      <w:pPr>
        <w:spacing w:line="270" w:lineRule="atLeast"/>
        <w:rPr>
          <w:rFonts w:ascii="Arial" w:eastAsia="Times New Roman" w:hAnsi="Arial" w:cs="Arial"/>
          <w:color w:val="000000"/>
          <w:sz w:val="18"/>
          <w:szCs w:val="18"/>
        </w:rPr>
      </w:pPr>
    </w:p>
    <w:p w:rsidR="00711AE5" w:rsidRDefault="00711AE5"/>
    <w:p w:rsidR="007F6138" w:rsidRDefault="007F6138"/>
    <w:p w:rsidR="007F6138" w:rsidRDefault="007F6138" w:rsidP="007F6138">
      <w:r>
        <w:br w:type="page"/>
      </w:r>
    </w:p>
    <w:p w:rsidR="00711AE5" w:rsidRDefault="00711AE5" w:rsidP="000A0E9B">
      <w:pPr>
        <w:pStyle w:val="ListParagraph"/>
        <w:numPr>
          <w:ilvl w:val="0"/>
          <w:numId w:val="2"/>
        </w:numPr>
      </w:pPr>
      <w:r>
        <w:lastRenderedPageBreak/>
        <w:t>MR damper:</w:t>
      </w:r>
    </w:p>
    <w:p w:rsidR="00711AE5" w:rsidRDefault="00711AE5">
      <w:pPr>
        <w:rPr>
          <w:rFonts w:ascii="Helvetica" w:hAnsi="Helvetica" w:cs="Helvetica"/>
          <w:color w:val="000000"/>
          <w:sz w:val="20"/>
          <w:szCs w:val="20"/>
          <w:shd w:val="clear" w:color="auto" w:fill="FFFFFF"/>
        </w:rPr>
      </w:pPr>
      <w:r>
        <w:br/>
      </w:r>
      <w:r>
        <w:rPr>
          <w:rFonts w:ascii="Helvetica" w:hAnsi="Helvetica" w:cs="Helvetica"/>
          <w:color w:val="000000"/>
          <w:sz w:val="20"/>
          <w:szCs w:val="20"/>
          <w:shd w:val="clear" w:color="auto" w:fill="FFFFFF"/>
        </w:rPr>
        <w:t>The RD-8040-1 MR damper, one of commercial products of Lord Corporation (USA), contains MR fluid in the main cylinder. The damper is 20.8 cm extended length and the main cylinder is 4.2 cm in diameter. The damper has a stroke of 5.5 cm. The voltage supplied to the damper varies from 0 to 5V.</w:t>
      </w:r>
    </w:p>
    <w:p w:rsidR="00711AE5" w:rsidRDefault="00711AE5"/>
    <w:p w:rsidR="000A0E9B" w:rsidRDefault="00711AE5">
      <w:r>
        <w:rPr>
          <w:noProof/>
        </w:rPr>
        <w:drawing>
          <wp:inline distT="0" distB="0" distL="0" distR="0">
            <wp:extent cx="5943600" cy="1987305"/>
            <wp:effectExtent l="0" t="0" r="0" b="0"/>
            <wp:docPr id="2" name="Picture 2" descr="http://smartstructures.wikispaces.com/file/view/Capture777.PNG/305583664/Capture7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rtstructures.wikispaces.com/file/view/Capture777.PNG/305583664/Capture77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987305"/>
                    </a:xfrm>
                    <a:prstGeom prst="rect">
                      <a:avLst/>
                    </a:prstGeom>
                    <a:noFill/>
                    <a:ln>
                      <a:noFill/>
                    </a:ln>
                  </pic:spPr>
                </pic:pic>
              </a:graphicData>
            </a:graphic>
          </wp:inline>
        </w:drawing>
      </w:r>
    </w:p>
    <w:p w:rsidR="000A0E9B" w:rsidRDefault="000A0E9B" w:rsidP="000A0E9B">
      <w:pPr>
        <w:pStyle w:val="ListParagraph"/>
        <w:numPr>
          <w:ilvl w:val="0"/>
          <w:numId w:val="2"/>
        </w:numPr>
      </w:pPr>
      <w:r>
        <w:t>Shake table</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hint="eastAsia"/>
          <w:color w:val="333333"/>
          <w:sz w:val="20"/>
          <w:szCs w:val="20"/>
        </w:rPr>
        <w:t>台面尺寸：</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hint="eastAsia"/>
            <w:color w:val="333333"/>
            <w:sz w:val="20"/>
            <w:szCs w:val="20"/>
          </w:rPr>
          <w:t>3m</w:t>
        </w:r>
      </w:smartTag>
      <w:r>
        <w:rPr>
          <w:rFonts w:hint="eastAsia"/>
          <w:color w:val="333333"/>
          <w:sz w:val="20"/>
          <w:szCs w:val="20"/>
        </w:rPr>
        <w:t>×</w:t>
      </w:r>
      <w:smartTag w:uri="urn:schemas-microsoft-com:office:smarttags" w:element="chmetcnv">
        <w:smartTagPr>
          <w:attr w:name="TCSC" w:val="0"/>
          <w:attr w:name="NumberType" w:val="1"/>
          <w:attr w:name="Negative" w:val="False"/>
          <w:attr w:name="HasSpace" w:val="False"/>
          <w:attr w:name="SourceValue" w:val="4"/>
          <w:attr w:name="UnitName" w:val="m"/>
        </w:smartTagPr>
        <w:r>
          <w:rPr>
            <w:rFonts w:hint="eastAsia"/>
            <w:color w:val="333333"/>
            <w:sz w:val="20"/>
            <w:szCs w:val="20"/>
          </w:rPr>
          <w:t>4m</w:t>
        </w:r>
      </w:smartTag>
      <w:r>
        <w:rPr>
          <w:rFonts w:hint="eastAsia"/>
          <w:color w:val="333333"/>
          <w:sz w:val="20"/>
          <w:szCs w:val="20"/>
        </w:rPr>
        <w:t>(</w:t>
      </w:r>
      <w:r>
        <w:rPr>
          <w:rFonts w:hint="eastAsia"/>
          <w:color w:val="333333"/>
          <w:sz w:val="20"/>
          <w:szCs w:val="20"/>
        </w:rPr>
        <w:t>主振方向</w:t>
      </w:r>
      <w:smartTag w:uri="urn:schemas-microsoft-com:office:smarttags" w:element="chmetcnv">
        <w:smartTagPr>
          <w:attr w:name="TCSC" w:val="0"/>
          <w:attr w:name="NumberType" w:val="1"/>
          <w:attr w:name="Negative" w:val="False"/>
          <w:attr w:name="HasSpace" w:val="False"/>
          <w:attr w:name="SourceValue" w:val="4"/>
          <w:attr w:name="UnitName" w:val="m"/>
        </w:smartTagPr>
        <w:r>
          <w:rPr>
            <w:rFonts w:hint="eastAsia"/>
            <w:color w:val="333333"/>
            <w:sz w:val="20"/>
            <w:szCs w:val="20"/>
          </w:rPr>
          <w:t>4m</w:t>
        </w:r>
      </w:smartTag>
      <w:r>
        <w:rPr>
          <w:rFonts w:hint="eastAsia"/>
          <w:color w:val="333333"/>
          <w:sz w:val="20"/>
          <w:szCs w:val="20"/>
        </w:rPr>
        <w:t>)</w:t>
      </w:r>
      <w:r>
        <w:rPr>
          <w:rFonts w:hint="eastAsia"/>
          <w:color w:val="333333"/>
          <w:sz w:val="20"/>
          <w:szCs w:val="20"/>
        </w:rPr>
        <w:t>；</w:t>
      </w:r>
      <w:r>
        <w:rPr>
          <w:rFonts w:hint="eastAsia"/>
          <w:color w:val="333333"/>
          <w:sz w:val="20"/>
          <w:szCs w:val="20"/>
        </w:rPr>
        <w:t xml:space="preserve"> </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hint="eastAsia"/>
          <w:color w:val="333333"/>
          <w:sz w:val="20"/>
          <w:szCs w:val="20"/>
        </w:rPr>
        <w:t>最大激振力：</w:t>
      </w:r>
      <w:r>
        <w:rPr>
          <w:rFonts w:hint="eastAsia"/>
          <w:color w:val="333333"/>
          <w:sz w:val="20"/>
          <w:szCs w:val="20"/>
        </w:rPr>
        <w:t>200kN(</w:t>
      </w:r>
      <w:r>
        <w:rPr>
          <w:rFonts w:hint="eastAsia"/>
          <w:color w:val="333333"/>
          <w:sz w:val="20"/>
          <w:szCs w:val="20"/>
        </w:rPr>
        <w:t>静态±</w:t>
      </w:r>
      <w:r>
        <w:rPr>
          <w:rFonts w:hint="eastAsia"/>
          <w:color w:val="333333"/>
          <w:sz w:val="20"/>
          <w:szCs w:val="20"/>
        </w:rPr>
        <w:t>250KN)</w:t>
      </w:r>
      <w:r>
        <w:rPr>
          <w:rFonts w:hint="eastAsia"/>
          <w:color w:val="333333"/>
          <w:sz w:val="20"/>
          <w:szCs w:val="20"/>
        </w:rPr>
        <w:t>；</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cs="Arial" w:hint="eastAsia"/>
          <w:color w:val="333333"/>
          <w:sz w:val="20"/>
          <w:szCs w:val="20"/>
        </w:rPr>
        <w:t>频率范围：</w:t>
      </w:r>
      <w:r>
        <w:rPr>
          <w:rFonts w:cs="Arial" w:hint="eastAsia"/>
          <w:color w:val="333333"/>
          <w:sz w:val="20"/>
          <w:szCs w:val="20"/>
        </w:rPr>
        <w:t>0~30Hz</w:t>
      </w:r>
      <w:r>
        <w:rPr>
          <w:rFonts w:cs="Arial" w:hint="eastAsia"/>
          <w:color w:val="333333"/>
          <w:sz w:val="20"/>
          <w:szCs w:val="20"/>
        </w:rPr>
        <w:t>；</w:t>
      </w:r>
      <w:r>
        <w:rPr>
          <w:rFonts w:cs="Arial" w:hint="eastAsia"/>
          <w:color w:val="333333"/>
          <w:sz w:val="20"/>
          <w:szCs w:val="20"/>
        </w:rPr>
        <w:t xml:space="preserve"> </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cs="Arial" w:hint="eastAsia"/>
          <w:color w:val="333333"/>
          <w:sz w:val="20"/>
          <w:szCs w:val="20"/>
        </w:rPr>
        <w:t>最大模型重量：</w:t>
      </w:r>
      <w:r>
        <w:rPr>
          <w:rFonts w:cs="Arial" w:hint="eastAsia"/>
          <w:color w:val="333333"/>
          <w:sz w:val="20"/>
          <w:szCs w:val="20"/>
        </w:rPr>
        <w:t>12t</w:t>
      </w:r>
      <w:r>
        <w:rPr>
          <w:rFonts w:cs="Arial" w:hint="eastAsia"/>
          <w:color w:val="333333"/>
          <w:sz w:val="20"/>
          <w:szCs w:val="20"/>
        </w:rPr>
        <w:t>；</w:t>
      </w:r>
      <w:r>
        <w:rPr>
          <w:rFonts w:cs="Arial" w:hint="eastAsia"/>
          <w:color w:val="333333"/>
          <w:sz w:val="20"/>
          <w:szCs w:val="20"/>
        </w:rPr>
        <w:t xml:space="preserve"> </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cs="Arial" w:hint="eastAsia"/>
          <w:color w:val="333333"/>
          <w:sz w:val="20"/>
          <w:szCs w:val="20"/>
        </w:rPr>
        <w:t>最大工作行程：水平：±</w:t>
      </w:r>
      <w:smartTag w:uri="urn:schemas-microsoft-com:office:smarttags" w:element="chmetcnv">
        <w:smartTagPr>
          <w:attr w:name="TCSC" w:val="0"/>
          <w:attr w:name="NumberType" w:val="1"/>
          <w:attr w:name="Negative" w:val="False"/>
          <w:attr w:name="HasSpace" w:val="True"/>
          <w:attr w:name="SourceValue" w:val="125"/>
          <w:attr w:name="UnitName" w:val="mm"/>
        </w:smartTagPr>
        <w:r>
          <w:rPr>
            <w:rFonts w:cs="Arial" w:hint="eastAsia"/>
            <w:color w:val="333333"/>
            <w:sz w:val="20"/>
            <w:szCs w:val="20"/>
          </w:rPr>
          <w:t>125 mm</w:t>
        </w:r>
      </w:smartTag>
      <w:r>
        <w:rPr>
          <w:rFonts w:cs="Arial" w:hint="eastAsia"/>
          <w:color w:val="333333"/>
          <w:sz w:val="20"/>
          <w:szCs w:val="20"/>
        </w:rPr>
        <w:t>；</w:t>
      </w:r>
      <w:r>
        <w:rPr>
          <w:rFonts w:cs="Arial" w:hint="eastAsia"/>
          <w:color w:val="333333"/>
          <w:sz w:val="20"/>
          <w:szCs w:val="20"/>
        </w:rPr>
        <w:t xml:space="preserve"> </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cs="Arial" w:hint="eastAsia"/>
          <w:color w:val="333333"/>
          <w:sz w:val="20"/>
          <w:szCs w:val="20"/>
        </w:rPr>
        <w:t>最大速度（水平）：±</w:t>
      </w:r>
      <w:smartTag w:uri="urn:schemas-microsoft-com:office:smarttags" w:element="chmetcnv">
        <w:smartTagPr>
          <w:attr w:name="TCSC" w:val="0"/>
          <w:attr w:name="NumberType" w:val="1"/>
          <w:attr w:name="Negative" w:val="False"/>
          <w:attr w:name="HasSpace" w:val="True"/>
          <w:attr w:name="SourceValue" w:val="600"/>
          <w:attr w:name="UnitName" w:val="mm"/>
        </w:smartTagPr>
        <w:r>
          <w:rPr>
            <w:rFonts w:cs="Arial" w:hint="eastAsia"/>
            <w:color w:val="333333"/>
            <w:sz w:val="20"/>
            <w:szCs w:val="20"/>
          </w:rPr>
          <w:t>600 mm</w:t>
        </w:r>
      </w:smartTag>
      <w:r>
        <w:rPr>
          <w:rFonts w:cs="Arial" w:hint="eastAsia"/>
          <w:color w:val="333333"/>
          <w:sz w:val="20"/>
          <w:szCs w:val="20"/>
        </w:rPr>
        <w:t>/s</w:t>
      </w:r>
      <w:r>
        <w:rPr>
          <w:rFonts w:cs="Arial" w:hint="eastAsia"/>
          <w:color w:val="333333"/>
          <w:sz w:val="20"/>
          <w:szCs w:val="20"/>
        </w:rPr>
        <w:t>；</w:t>
      </w:r>
      <w:r>
        <w:rPr>
          <w:rFonts w:cs="Arial" w:hint="eastAsia"/>
          <w:color w:val="333333"/>
          <w:sz w:val="20"/>
          <w:szCs w:val="20"/>
        </w:rPr>
        <w:t xml:space="preserve"> </w:t>
      </w:r>
    </w:p>
    <w:p w:rsidR="000A0E9B" w:rsidRDefault="000A0E9B" w:rsidP="000A0E9B">
      <w:pPr>
        <w:numPr>
          <w:ilvl w:val="0"/>
          <w:numId w:val="3"/>
        </w:numPr>
        <w:spacing w:before="100" w:beforeAutospacing="1" w:after="100" w:afterAutospacing="1" w:line="301" w:lineRule="atLeast"/>
        <w:rPr>
          <w:rFonts w:ascii="Arial" w:hAnsi="Arial" w:cs="Arial"/>
          <w:color w:val="333333"/>
          <w:sz w:val="15"/>
          <w:szCs w:val="15"/>
        </w:rPr>
      </w:pPr>
      <w:r>
        <w:rPr>
          <w:rFonts w:cs="Arial" w:hint="eastAsia"/>
          <w:color w:val="333333"/>
          <w:sz w:val="20"/>
          <w:szCs w:val="20"/>
        </w:rPr>
        <w:t>最大加速度：水平：±</w:t>
      </w:r>
      <w:smartTag w:uri="urn:schemas-microsoft-com:office:smarttags" w:element="chmetcnv">
        <w:smartTagPr>
          <w:attr w:name="TCSC" w:val="0"/>
          <w:attr w:name="NumberType" w:val="1"/>
          <w:attr w:name="Negative" w:val="False"/>
          <w:attr w:name="HasSpace" w:val="False"/>
          <w:attr w:name="SourceValue" w:val="1.33"/>
          <w:attr w:name="UnitName" w:val="g"/>
        </w:smartTagPr>
        <w:r>
          <w:rPr>
            <w:rFonts w:cs="Arial" w:hint="eastAsia"/>
            <w:color w:val="333333"/>
            <w:sz w:val="20"/>
            <w:szCs w:val="20"/>
          </w:rPr>
          <w:t>1.33g</w:t>
        </w:r>
      </w:smartTag>
      <w:r>
        <w:rPr>
          <w:rFonts w:cs="Arial" w:hint="eastAsia"/>
          <w:color w:val="333333"/>
          <w:sz w:val="20"/>
          <w:szCs w:val="20"/>
        </w:rPr>
        <w:t>；</w:t>
      </w:r>
      <w:r>
        <w:rPr>
          <w:rFonts w:cs="Arial" w:hint="eastAsia"/>
          <w:color w:val="333333"/>
          <w:sz w:val="20"/>
          <w:szCs w:val="20"/>
        </w:rPr>
        <w:t xml:space="preserve"> </w:t>
      </w:r>
    </w:p>
    <w:p w:rsidR="000A0E9B" w:rsidRPr="00426410" w:rsidRDefault="000A0E9B" w:rsidP="000A0E9B">
      <w:pPr>
        <w:numPr>
          <w:ilvl w:val="0"/>
          <w:numId w:val="3"/>
        </w:numPr>
        <w:spacing w:before="100" w:beforeAutospacing="1" w:after="100" w:afterAutospacing="1" w:line="301" w:lineRule="atLeast"/>
        <w:rPr>
          <w:rFonts w:ascii="Arial" w:hAnsi="Arial" w:cs="Arial" w:hint="eastAsia"/>
          <w:color w:val="333333"/>
          <w:sz w:val="15"/>
          <w:szCs w:val="15"/>
        </w:rPr>
      </w:pPr>
      <w:r>
        <w:rPr>
          <w:rFonts w:cs="Arial" w:hint="eastAsia"/>
          <w:color w:val="333333"/>
          <w:sz w:val="20"/>
          <w:szCs w:val="20"/>
        </w:rPr>
        <w:t>最大倾覆力矩：</w:t>
      </w:r>
      <w:r>
        <w:rPr>
          <w:rFonts w:cs="Arial" w:hint="eastAsia"/>
          <w:color w:val="333333"/>
          <w:sz w:val="20"/>
          <w:szCs w:val="20"/>
        </w:rPr>
        <w:t>30 t*m</w:t>
      </w:r>
    </w:p>
    <w:p w:rsidR="000A0E9B" w:rsidRDefault="000A0E9B" w:rsidP="000A0E9B">
      <w:pPr>
        <w:spacing w:before="100" w:beforeAutospacing="1" w:after="100" w:afterAutospacing="1" w:line="301" w:lineRule="atLeast"/>
        <w:ind w:firstLineChars="200" w:firstLine="440"/>
        <w:rPr>
          <w:rFonts w:hint="eastAsia"/>
        </w:rPr>
      </w:pPr>
      <w:r>
        <w:rPr>
          <w:rFonts w:hint="eastAsia"/>
        </w:rPr>
        <w:t>The shaking table in HIT was constructed in 1987. It is a one-dimension shaking table. The parameters and capacities of the shaking table are listed in the table below.</w:t>
      </w:r>
      <w:r>
        <w:t xml:space="preserve"> </w:t>
      </w:r>
    </w:p>
    <w:tbl>
      <w:tblPr>
        <w:tblStyle w:val="TableElegant"/>
        <w:tblW w:w="8522" w:type="dxa"/>
        <w:jc w:val="center"/>
        <w:tblLook w:val="0080" w:firstRow="0" w:lastRow="0" w:firstColumn="1" w:lastColumn="0" w:noHBand="0" w:noVBand="0"/>
      </w:tblPr>
      <w:tblGrid>
        <w:gridCol w:w="4261"/>
        <w:gridCol w:w="4261"/>
      </w:tblGrid>
      <w:tr w:rsidR="000A0E9B" w:rsidTr="00213020">
        <w:trPr>
          <w:jc w:val="center"/>
        </w:trPr>
        <w:tc>
          <w:tcPr>
            <w:tcW w:w="4261" w:type="dxa"/>
            <w:vAlign w:val="center"/>
          </w:tcPr>
          <w:p w:rsidR="000A0E9B" w:rsidRDefault="000A0E9B" w:rsidP="00213020">
            <w:pPr>
              <w:jc w:val="center"/>
              <w:rPr>
                <w:rFonts w:ascii="宋体" w:hAnsi="宋体" w:cs="宋体"/>
                <w:sz w:val="24"/>
              </w:rPr>
            </w:pPr>
            <w:r>
              <w:t>Size</w:t>
            </w:r>
          </w:p>
        </w:tc>
        <w:tc>
          <w:tcPr>
            <w:tcW w:w="4261" w:type="dxa"/>
            <w:vAlign w:val="center"/>
          </w:tcPr>
          <w:p w:rsidR="000A0E9B" w:rsidRDefault="000A0E9B" w:rsidP="00213020">
            <w:pPr>
              <w:jc w:val="center"/>
              <w:rPr>
                <w:rFonts w:ascii="宋体" w:hAnsi="宋体" w:cs="宋体"/>
                <w:sz w:val="24"/>
              </w:rPr>
            </w:pPr>
            <w:smartTag w:uri="urn:schemas-microsoft-com:office:smarttags" w:element="chmetcnv">
              <w:smartTagPr>
                <w:attr w:name="TCSC" w:val="0"/>
                <w:attr w:name="NumberType" w:val="1"/>
                <w:attr w:name="Negative" w:val="False"/>
                <w:attr w:name="HasSpace" w:val="False"/>
                <w:attr w:name="SourceValue" w:val="3"/>
                <w:attr w:name="UnitName" w:val="m"/>
              </w:smartTagPr>
              <w:r>
                <w:rPr>
                  <w:rFonts w:hint="eastAsia"/>
                  <w:color w:val="333333"/>
                </w:rPr>
                <w:t>3m</w:t>
              </w:r>
            </w:smartTag>
            <w:r>
              <w:rPr>
                <w:rFonts w:hint="eastAsia"/>
                <w:color w:val="333333"/>
              </w:rPr>
              <w:t>×</w:t>
            </w:r>
            <w:smartTag w:uri="urn:schemas-microsoft-com:office:smarttags" w:element="chmetcnv">
              <w:smartTagPr>
                <w:attr w:name="TCSC" w:val="0"/>
                <w:attr w:name="NumberType" w:val="1"/>
                <w:attr w:name="Negative" w:val="False"/>
                <w:attr w:name="HasSpace" w:val="False"/>
                <w:attr w:name="SourceValue" w:val="4"/>
                <w:attr w:name="UnitName" w:val="m"/>
              </w:smartTagPr>
              <w:r>
                <w:rPr>
                  <w:rFonts w:hint="eastAsia"/>
                  <w:color w:val="333333"/>
                </w:rPr>
                <w:t>4m</w:t>
              </w:r>
            </w:smartTag>
            <w:r>
              <w:rPr>
                <w:rFonts w:hint="eastAsia"/>
                <w:color w:val="333333"/>
              </w:rPr>
              <w:t xml:space="preserve"> (shaking direction)</w:t>
            </w:r>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Peak acceleration: bare table</w:t>
            </w:r>
          </w:p>
        </w:tc>
        <w:tc>
          <w:tcPr>
            <w:tcW w:w="4261" w:type="dxa"/>
            <w:vAlign w:val="center"/>
          </w:tcPr>
          <w:p w:rsidR="000A0E9B" w:rsidRDefault="000A0E9B" w:rsidP="00213020">
            <w:pPr>
              <w:jc w:val="center"/>
              <w:rPr>
                <w:rFonts w:ascii="宋体" w:hAnsi="宋体" w:cs="宋体"/>
                <w:sz w:val="24"/>
              </w:rPr>
            </w:pPr>
            <w:r>
              <w:rPr>
                <w:rFonts w:cs="Arial" w:hint="eastAsia"/>
                <w:color w:val="333333"/>
              </w:rPr>
              <w:t>±</w:t>
            </w:r>
            <w:smartTag w:uri="urn:schemas-microsoft-com:office:smarttags" w:element="chmetcnv">
              <w:smartTagPr>
                <w:attr w:name="TCSC" w:val="0"/>
                <w:attr w:name="NumberType" w:val="1"/>
                <w:attr w:name="Negative" w:val="False"/>
                <w:attr w:name="HasSpace" w:val="False"/>
                <w:attr w:name="SourceValue" w:val="1.33"/>
                <w:attr w:name="UnitName" w:val="g"/>
              </w:smartTagPr>
              <w:r>
                <w:rPr>
                  <w:rFonts w:cs="Arial" w:hint="eastAsia"/>
                  <w:color w:val="333333"/>
                </w:rPr>
                <w:t>1.33g</w:t>
              </w:r>
            </w:smartTag>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Peak velocity</w:t>
            </w:r>
          </w:p>
        </w:tc>
        <w:tc>
          <w:tcPr>
            <w:tcW w:w="4261" w:type="dxa"/>
            <w:vAlign w:val="center"/>
          </w:tcPr>
          <w:p w:rsidR="000A0E9B" w:rsidRDefault="000A0E9B" w:rsidP="00213020">
            <w:pPr>
              <w:jc w:val="center"/>
              <w:rPr>
                <w:rFonts w:ascii="宋体" w:hAnsi="宋体" w:cs="宋体"/>
                <w:sz w:val="24"/>
              </w:rPr>
            </w:pPr>
            <w:r>
              <w:rPr>
                <w:rFonts w:cs="Arial" w:hint="eastAsia"/>
                <w:color w:val="333333"/>
              </w:rPr>
              <w:t>±</w:t>
            </w:r>
            <w:smartTag w:uri="urn:schemas-microsoft-com:office:smarttags" w:element="chmetcnv">
              <w:smartTagPr>
                <w:attr w:name="TCSC" w:val="0"/>
                <w:attr w:name="NumberType" w:val="1"/>
                <w:attr w:name="Negative" w:val="False"/>
                <w:attr w:name="HasSpace" w:val="True"/>
                <w:attr w:name="SourceValue" w:val="600"/>
                <w:attr w:name="UnitName" w:val="mm"/>
              </w:smartTagPr>
              <w:r>
                <w:rPr>
                  <w:rFonts w:cs="Arial" w:hint="eastAsia"/>
                  <w:color w:val="333333"/>
                </w:rPr>
                <w:t>600 mm</w:t>
              </w:r>
            </w:smartTag>
            <w:r>
              <w:rPr>
                <w:rFonts w:cs="Arial" w:hint="eastAsia"/>
                <w:color w:val="333333"/>
              </w:rPr>
              <w:t>/s</w:t>
            </w:r>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Stroke</w:t>
            </w:r>
          </w:p>
        </w:tc>
        <w:tc>
          <w:tcPr>
            <w:tcW w:w="4261" w:type="dxa"/>
            <w:vAlign w:val="center"/>
          </w:tcPr>
          <w:p w:rsidR="000A0E9B" w:rsidRDefault="000A0E9B" w:rsidP="00213020">
            <w:pPr>
              <w:jc w:val="center"/>
              <w:rPr>
                <w:rFonts w:ascii="宋体" w:hAnsi="宋体" w:cs="宋体"/>
                <w:sz w:val="24"/>
              </w:rPr>
            </w:pPr>
            <w:r>
              <w:rPr>
                <w:rFonts w:cs="Arial" w:hint="eastAsia"/>
                <w:color w:val="333333"/>
              </w:rPr>
              <w:t>±</w:t>
            </w:r>
            <w:smartTag w:uri="urn:schemas-microsoft-com:office:smarttags" w:element="chmetcnv">
              <w:smartTagPr>
                <w:attr w:name="TCSC" w:val="0"/>
                <w:attr w:name="NumberType" w:val="1"/>
                <w:attr w:name="Negative" w:val="False"/>
                <w:attr w:name="HasSpace" w:val="True"/>
                <w:attr w:name="SourceValue" w:val="125"/>
                <w:attr w:name="UnitName" w:val="mm"/>
              </w:smartTagPr>
              <w:r>
                <w:rPr>
                  <w:rFonts w:cs="Arial" w:hint="eastAsia"/>
                  <w:color w:val="333333"/>
                </w:rPr>
                <w:t>125 mm</w:t>
              </w:r>
            </w:smartTag>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Maximum gravity (vertical) payload</w:t>
            </w:r>
          </w:p>
        </w:tc>
        <w:tc>
          <w:tcPr>
            <w:tcW w:w="4261" w:type="dxa"/>
            <w:vAlign w:val="center"/>
          </w:tcPr>
          <w:p w:rsidR="000A0E9B" w:rsidRDefault="000A0E9B" w:rsidP="00213020">
            <w:pPr>
              <w:jc w:val="center"/>
              <w:rPr>
                <w:rFonts w:ascii="宋体" w:hAnsi="宋体" w:cs="宋体"/>
                <w:sz w:val="24"/>
              </w:rPr>
            </w:pPr>
            <w:r>
              <w:rPr>
                <w:rFonts w:cs="Arial" w:hint="eastAsia"/>
                <w:color w:val="333333"/>
              </w:rPr>
              <w:t>12t</w:t>
            </w:r>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Force capacity of actuators</w:t>
            </w:r>
          </w:p>
        </w:tc>
        <w:tc>
          <w:tcPr>
            <w:tcW w:w="4261" w:type="dxa"/>
            <w:vAlign w:val="center"/>
          </w:tcPr>
          <w:p w:rsidR="000A0E9B" w:rsidRDefault="000A0E9B" w:rsidP="00213020">
            <w:pPr>
              <w:jc w:val="center"/>
              <w:rPr>
                <w:rFonts w:ascii="宋体" w:hAnsi="宋体" w:cs="宋体"/>
                <w:sz w:val="24"/>
              </w:rPr>
            </w:pPr>
            <w:r>
              <w:rPr>
                <w:rFonts w:hint="eastAsia"/>
                <w:color w:val="333333"/>
              </w:rPr>
              <w:t>200kN</w:t>
            </w:r>
          </w:p>
        </w:tc>
      </w:tr>
      <w:tr w:rsidR="000A0E9B" w:rsidTr="00213020">
        <w:trPr>
          <w:jc w:val="center"/>
        </w:trPr>
        <w:tc>
          <w:tcPr>
            <w:tcW w:w="4261" w:type="dxa"/>
            <w:vAlign w:val="center"/>
          </w:tcPr>
          <w:p w:rsidR="000A0E9B" w:rsidRDefault="000A0E9B" w:rsidP="00213020">
            <w:pPr>
              <w:jc w:val="center"/>
              <w:rPr>
                <w:rFonts w:ascii="宋体" w:hAnsi="宋体" w:cs="宋体" w:hint="eastAsia"/>
                <w:sz w:val="24"/>
              </w:rPr>
            </w:pPr>
            <w:r>
              <w:t>Maximum overturning moment</w:t>
            </w:r>
          </w:p>
        </w:tc>
        <w:tc>
          <w:tcPr>
            <w:tcW w:w="4261" w:type="dxa"/>
            <w:vAlign w:val="center"/>
          </w:tcPr>
          <w:p w:rsidR="000A0E9B" w:rsidRDefault="000A0E9B" w:rsidP="00213020">
            <w:pPr>
              <w:jc w:val="center"/>
              <w:rPr>
                <w:rFonts w:ascii="宋体" w:hAnsi="宋体" w:cs="宋体"/>
                <w:sz w:val="24"/>
              </w:rPr>
            </w:pPr>
            <w:r>
              <w:rPr>
                <w:rFonts w:cs="Arial" w:hint="eastAsia"/>
                <w:color w:val="333333"/>
              </w:rPr>
              <w:t>30 t-m</w:t>
            </w:r>
          </w:p>
        </w:tc>
      </w:tr>
      <w:tr w:rsidR="000A0E9B" w:rsidTr="00213020">
        <w:trPr>
          <w:jc w:val="center"/>
        </w:trPr>
        <w:tc>
          <w:tcPr>
            <w:tcW w:w="4261" w:type="dxa"/>
            <w:vAlign w:val="center"/>
          </w:tcPr>
          <w:p w:rsidR="000A0E9B" w:rsidRDefault="000A0E9B" w:rsidP="00213020">
            <w:pPr>
              <w:jc w:val="center"/>
              <w:rPr>
                <w:rFonts w:ascii="宋体" w:hAnsi="宋体" w:cs="宋体"/>
                <w:sz w:val="24"/>
              </w:rPr>
            </w:pPr>
            <w:r>
              <w:t>Frequency bandwidth</w:t>
            </w:r>
          </w:p>
        </w:tc>
        <w:tc>
          <w:tcPr>
            <w:tcW w:w="4261" w:type="dxa"/>
            <w:vAlign w:val="center"/>
          </w:tcPr>
          <w:p w:rsidR="000A0E9B" w:rsidRDefault="000A0E9B" w:rsidP="00213020">
            <w:pPr>
              <w:jc w:val="center"/>
              <w:rPr>
                <w:rFonts w:ascii="宋体" w:hAnsi="宋体" w:cs="宋体"/>
                <w:sz w:val="24"/>
              </w:rPr>
            </w:pPr>
            <w:r>
              <w:t>0 — 3</w:t>
            </w:r>
            <w:r>
              <w:rPr>
                <w:rFonts w:hint="eastAsia"/>
              </w:rPr>
              <w:t>0</w:t>
            </w:r>
            <w:r>
              <w:t xml:space="preserve"> Hz</w:t>
            </w:r>
          </w:p>
        </w:tc>
      </w:tr>
    </w:tbl>
    <w:p w:rsidR="000A0E9B" w:rsidRDefault="000A0E9B"/>
    <w:sectPr w:rsidR="000A0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190605"/>
    <w:multiLevelType w:val="multilevel"/>
    <w:tmpl w:val="2960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0E6686"/>
    <w:multiLevelType w:val="multilevel"/>
    <w:tmpl w:val="EBB41B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92001E"/>
    <w:multiLevelType w:val="hybridMultilevel"/>
    <w:tmpl w:val="09ECF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E5"/>
    <w:rsid w:val="000A0E9B"/>
    <w:rsid w:val="004418F1"/>
    <w:rsid w:val="00711AE5"/>
    <w:rsid w:val="007F6138"/>
    <w:rsid w:val="00CC24DE"/>
    <w:rsid w:val="00CE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C2B07399-A4FE-41E7-A02E-57B3F2F4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11A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11AE5"/>
    <w:rPr>
      <w:color w:val="0000FF"/>
      <w:u w:val="single"/>
    </w:rPr>
  </w:style>
  <w:style w:type="character" w:styleId="Strong">
    <w:name w:val="Strong"/>
    <w:basedOn w:val="DefaultParagraphFont"/>
    <w:uiPriority w:val="22"/>
    <w:qFormat/>
    <w:rsid w:val="00711AE5"/>
    <w:rPr>
      <w:b/>
      <w:bCs/>
    </w:rPr>
  </w:style>
  <w:style w:type="character" w:customStyle="1" w:styleId="Heading1Char">
    <w:name w:val="Heading 1 Char"/>
    <w:basedOn w:val="DefaultParagraphFont"/>
    <w:link w:val="Heading1"/>
    <w:uiPriority w:val="9"/>
    <w:rsid w:val="00711AE5"/>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0A0E9B"/>
    <w:pPr>
      <w:ind w:left="720"/>
      <w:contextualSpacing/>
    </w:pPr>
  </w:style>
  <w:style w:type="table" w:styleId="TableElegant">
    <w:name w:val="Table Elegant"/>
    <w:basedOn w:val="TableNormal"/>
    <w:rsid w:val="000A0E9B"/>
    <w:pPr>
      <w:widowControl w:val="0"/>
      <w:spacing w:after="0" w:line="240" w:lineRule="auto"/>
      <w:jc w:val="both"/>
    </w:pPr>
    <w:rPr>
      <w:rFonts w:ascii="Times New Roman" w:eastAsia="宋体"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09065">
      <w:bodyDiv w:val="1"/>
      <w:marLeft w:val="0"/>
      <w:marRight w:val="0"/>
      <w:marTop w:val="0"/>
      <w:marBottom w:val="0"/>
      <w:divBdr>
        <w:top w:val="none" w:sz="0" w:space="0" w:color="auto"/>
        <w:left w:val="none" w:sz="0" w:space="0" w:color="auto"/>
        <w:bottom w:val="none" w:sz="0" w:space="0" w:color="auto"/>
        <w:right w:val="none" w:sz="0" w:space="0" w:color="auto"/>
      </w:divBdr>
      <w:divsChild>
        <w:div w:id="1137334608">
          <w:marLeft w:val="0"/>
          <w:marRight w:val="0"/>
          <w:marTop w:val="91"/>
          <w:marBottom w:val="0"/>
          <w:divBdr>
            <w:top w:val="none" w:sz="0" w:space="0" w:color="auto"/>
            <w:left w:val="none" w:sz="0" w:space="0" w:color="auto"/>
            <w:bottom w:val="none" w:sz="0" w:space="0" w:color="auto"/>
            <w:right w:val="none" w:sz="0" w:space="0" w:color="auto"/>
          </w:divBdr>
        </w:div>
      </w:divsChild>
    </w:div>
    <w:div w:id="188109852">
      <w:bodyDiv w:val="1"/>
      <w:marLeft w:val="0"/>
      <w:marRight w:val="0"/>
      <w:marTop w:val="0"/>
      <w:marBottom w:val="0"/>
      <w:divBdr>
        <w:top w:val="none" w:sz="0" w:space="0" w:color="auto"/>
        <w:left w:val="none" w:sz="0" w:space="0" w:color="auto"/>
        <w:bottom w:val="none" w:sz="0" w:space="0" w:color="auto"/>
        <w:right w:val="none" w:sz="0" w:space="0" w:color="auto"/>
      </w:divBdr>
      <w:divsChild>
        <w:div w:id="1339118672">
          <w:marLeft w:val="0"/>
          <w:marRight w:val="0"/>
          <w:marTop w:val="24"/>
          <w:marBottom w:val="240"/>
          <w:divBdr>
            <w:top w:val="none" w:sz="0" w:space="0" w:color="auto"/>
            <w:left w:val="none" w:sz="0" w:space="0" w:color="auto"/>
            <w:bottom w:val="none" w:sz="0" w:space="0" w:color="auto"/>
            <w:right w:val="none" w:sz="0" w:space="0" w:color="auto"/>
          </w:divBdr>
        </w:div>
        <w:div w:id="436799655">
          <w:marLeft w:val="0"/>
          <w:marRight w:val="0"/>
          <w:marTop w:val="0"/>
          <w:marBottom w:val="720"/>
          <w:divBdr>
            <w:top w:val="none" w:sz="0" w:space="0" w:color="auto"/>
            <w:left w:val="none" w:sz="0" w:space="0" w:color="auto"/>
            <w:bottom w:val="none" w:sz="0" w:space="0" w:color="auto"/>
            <w:right w:val="none" w:sz="0" w:space="0" w:color="auto"/>
          </w:divBdr>
          <w:divsChild>
            <w:div w:id="321785833">
              <w:marLeft w:val="0"/>
              <w:marRight w:val="0"/>
              <w:marTop w:val="0"/>
              <w:marBottom w:val="0"/>
              <w:divBdr>
                <w:top w:val="none" w:sz="0" w:space="0" w:color="auto"/>
                <w:left w:val="none" w:sz="0" w:space="0" w:color="auto"/>
                <w:bottom w:val="none" w:sz="0" w:space="0" w:color="auto"/>
                <w:right w:val="none" w:sz="0" w:space="0" w:color="auto"/>
              </w:divBdr>
            </w:div>
            <w:div w:id="2068137726">
              <w:marLeft w:val="0"/>
              <w:marRight w:val="0"/>
              <w:marTop w:val="0"/>
              <w:marBottom w:val="0"/>
              <w:divBdr>
                <w:top w:val="none" w:sz="0" w:space="0" w:color="auto"/>
                <w:left w:val="none" w:sz="0" w:space="0" w:color="auto"/>
                <w:bottom w:val="none" w:sz="0" w:space="0" w:color="auto"/>
                <w:right w:val="none" w:sz="0" w:space="0" w:color="auto"/>
              </w:divBdr>
            </w:div>
            <w:div w:id="249778337">
              <w:marLeft w:val="0"/>
              <w:marRight w:val="0"/>
              <w:marTop w:val="0"/>
              <w:marBottom w:val="0"/>
              <w:divBdr>
                <w:top w:val="none" w:sz="0" w:space="0" w:color="auto"/>
                <w:left w:val="none" w:sz="0" w:space="0" w:color="auto"/>
                <w:bottom w:val="none" w:sz="0" w:space="0" w:color="auto"/>
                <w:right w:val="none" w:sz="0" w:space="0" w:color="auto"/>
              </w:divBdr>
            </w:div>
            <w:div w:id="1429807209">
              <w:marLeft w:val="0"/>
              <w:marRight w:val="0"/>
              <w:marTop w:val="0"/>
              <w:marBottom w:val="0"/>
              <w:divBdr>
                <w:top w:val="none" w:sz="0" w:space="0" w:color="auto"/>
                <w:left w:val="none" w:sz="0" w:space="0" w:color="auto"/>
                <w:bottom w:val="none" w:sz="0" w:space="0" w:color="auto"/>
                <w:right w:val="none" w:sz="0" w:space="0" w:color="auto"/>
              </w:divBdr>
            </w:div>
            <w:div w:id="1656299529">
              <w:marLeft w:val="0"/>
              <w:marRight w:val="0"/>
              <w:marTop w:val="0"/>
              <w:marBottom w:val="0"/>
              <w:divBdr>
                <w:top w:val="none" w:sz="0" w:space="0" w:color="auto"/>
                <w:left w:val="none" w:sz="0" w:space="0" w:color="auto"/>
                <w:bottom w:val="none" w:sz="0" w:space="0" w:color="auto"/>
                <w:right w:val="none" w:sz="0" w:space="0" w:color="auto"/>
              </w:divBdr>
            </w:div>
            <w:div w:id="221719770">
              <w:marLeft w:val="0"/>
              <w:marRight w:val="0"/>
              <w:marTop w:val="0"/>
              <w:marBottom w:val="0"/>
              <w:divBdr>
                <w:top w:val="none" w:sz="0" w:space="0" w:color="auto"/>
                <w:left w:val="none" w:sz="0" w:space="0" w:color="auto"/>
                <w:bottom w:val="none" w:sz="0" w:space="0" w:color="auto"/>
                <w:right w:val="none" w:sz="0" w:space="0" w:color="auto"/>
              </w:divBdr>
            </w:div>
            <w:div w:id="1266888921">
              <w:marLeft w:val="0"/>
              <w:marRight w:val="0"/>
              <w:marTop w:val="0"/>
              <w:marBottom w:val="0"/>
              <w:divBdr>
                <w:top w:val="none" w:sz="0" w:space="0" w:color="auto"/>
                <w:left w:val="none" w:sz="0" w:space="0" w:color="auto"/>
                <w:bottom w:val="none" w:sz="0" w:space="0" w:color="auto"/>
                <w:right w:val="none" w:sz="0" w:space="0" w:color="auto"/>
              </w:divBdr>
            </w:div>
            <w:div w:id="368258391">
              <w:marLeft w:val="0"/>
              <w:marRight w:val="0"/>
              <w:marTop w:val="0"/>
              <w:marBottom w:val="0"/>
              <w:divBdr>
                <w:top w:val="none" w:sz="0" w:space="0" w:color="auto"/>
                <w:left w:val="none" w:sz="0" w:space="0" w:color="auto"/>
                <w:bottom w:val="none" w:sz="0" w:space="0" w:color="auto"/>
                <w:right w:val="none" w:sz="0" w:space="0" w:color="auto"/>
              </w:divBdr>
            </w:div>
            <w:div w:id="1835684424">
              <w:marLeft w:val="0"/>
              <w:marRight w:val="0"/>
              <w:marTop w:val="0"/>
              <w:marBottom w:val="0"/>
              <w:divBdr>
                <w:top w:val="none" w:sz="0" w:space="0" w:color="auto"/>
                <w:left w:val="none" w:sz="0" w:space="0" w:color="auto"/>
                <w:bottom w:val="none" w:sz="0" w:space="0" w:color="auto"/>
                <w:right w:val="none" w:sz="0" w:space="0" w:color="auto"/>
              </w:divBdr>
            </w:div>
            <w:div w:id="865601512">
              <w:marLeft w:val="0"/>
              <w:marRight w:val="0"/>
              <w:marTop w:val="0"/>
              <w:marBottom w:val="0"/>
              <w:divBdr>
                <w:top w:val="none" w:sz="0" w:space="0" w:color="auto"/>
                <w:left w:val="none" w:sz="0" w:space="0" w:color="auto"/>
                <w:bottom w:val="none" w:sz="0" w:space="0" w:color="auto"/>
                <w:right w:val="none" w:sz="0" w:space="0" w:color="auto"/>
              </w:divBdr>
            </w:div>
            <w:div w:id="17464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dspace.com/en/pub/home/products/hw/singbord/ppcconbo.cf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Ou</dc:creator>
  <cp:keywords/>
  <dc:description/>
  <cp:lastModifiedBy>Gaby Ou</cp:lastModifiedBy>
  <cp:revision>4</cp:revision>
  <dcterms:created xsi:type="dcterms:W3CDTF">2014-06-10T16:04:00Z</dcterms:created>
  <dcterms:modified xsi:type="dcterms:W3CDTF">2014-06-16T01:27:00Z</dcterms:modified>
</cp:coreProperties>
</file>